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96E0" w14:textId="77777777" w:rsidR="00E03623" w:rsidRDefault="00000000">
      <w:pPr>
        <w:spacing w:after="0" w:line="259" w:lineRule="auto"/>
        <w:ind w:left="0" w:right="15" w:firstLine="0"/>
        <w:jc w:val="center"/>
      </w:pPr>
      <w:r>
        <w:rPr>
          <w:sz w:val="24"/>
          <w:szCs w:val="24"/>
          <w:u w:val="single" w:color="000000"/>
          <w:rtl/>
        </w:rPr>
        <w:t xml:space="preserve">لائحة "دبلن" )اللائحة رقم </w:t>
      </w:r>
      <w:r>
        <w:rPr>
          <w:rFonts w:ascii="Verdana" w:eastAsia="Verdana" w:hAnsi="Verdana" w:cs="Verdana"/>
          <w:sz w:val="24"/>
          <w:szCs w:val="24"/>
          <w:u w:val="single" w:color="000000"/>
        </w:rPr>
        <w:t>604</w:t>
      </w:r>
      <w:r>
        <w:rPr>
          <w:sz w:val="24"/>
          <w:szCs w:val="24"/>
          <w:u w:val="single" w:color="000000"/>
          <w:rtl/>
        </w:rPr>
        <w:t xml:space="preserve">/ </w:t>
      </w:r>
      <w:r>
        <w:rPr>
          <w:rFonts w:ascii="Verdana" w:eastAsia="Verdana" w:hAnsi="Verdana" w:cs="Verdana"/>
          <w:sz w:val="24"/>
          <w:szCs w:val="24"/>
          <w:u w:val="single" w:color="000000"/>
        </w:rPr>
        <w:t>2013</w:t>
      </w:r>
      <w:r>
        <w:rPr>
          <w:sz w:val="24"/>
          <w:szCs w:val="24"/>
          <w:u w:val="single" w:color="000000"/>
          <w:rtl/>
        </w:rPr>
        <w:t xml:space="preserve"> (</w:t>
      </w:r>
      <w:r>
        <w:rPr>
          <w:sz w:val="24"/>
          <w:szCs w:val="24"/>
          <w:rtl/>
        </w:rPr>
        <w:t xml:space="preserve"> </w:t>
      </w:r>
    </w:p>
    <w:p w14:paraId="47A8B7E9" w14:textId="77777777" w:rsidR="00E03623" w:rsidRDefault="00000000">
      <w:pPr>
        <w:bidi w:val="0"/>
        <w:spacing w:after="29" w:line="259" w:lineRule="auto"/>
        <w:ind w:left="61" w:firstLine="0"/>
        <w:jc w:val="left"/>
      </w:pPr>
      <w:r>
        <w:rPr>
          <w:rFonts w:ascii="Verdana" w:eastAsia="Verdana" w:hAnsi="Verdana" w:cs="Verdana"/>
          <w:sz w:val="16"/>
        </w:rPr>
        <w:t xml:space="preserve"> </w:t>
      </w:r>
    </w:p>
    <w:p w14:paraId="2EA449C0" w14:textId="77777777" w:rsidR="00E03623" w:rsidRDefault="00000000">
      <w:pPr>
        <w:spacing w:after="0" w:line="235" w:lineRule="auto"/>
        <w:ind w:left="0" w:right="193" w:firstLine="5"/>
        <w:jc w:val="right"/>
      </w:pPr>
      <w:r>
        <w:rPr>
          <w:sz w:val="22"/>
          <w:rtl/>
        </w:rPr>
        <w:t xml:space="preserve">لا تكفل حقيقة أنك طلبت اللجوء في قبرص أن يتم النظر في طلبك هنا. يتم تحديد الدولة التي ستنظر في طلبك للحصول على الحماية الدولية بموجب لائحة دبلن وهي قانون أوروبي يحدد الدولة العضو في الاتحاد الأوروبي المسؤولة عن النظر في طلبك للحصول على الحماية الدولية/اللجوء. </w:t>
      </w:r>
      <w:r>
        <w:rPr>
          <w:rFonts w:ascii="Calibri" w:eastAsia="Calibri" w:hAnsi="Calibri" w:cs="Calibri"/>
          <w:sz w:val="22"/>
          <w:rtl/>
        </w:rPr>
        <w:t xml:space="preserve"> </w:t>
      </w:r>
    </w:p>
    <w:p w14:paraId="6FAE1800" w14:textId="77777777" w:rsidR="00E03623" w:rsidRDefault="00000000">
      <w:pPr>
        <w:spacing w:after="4" w:line="242" w:lineRule="auto"/>
        <w:ind w:left="-15" w:right="61" w:firstLine="6893"/>
      </w:pPr>
      <w:r>
        <w:rPr>
          <w:rFonts w:ascii="Verdana" w:eastAsia="Verdana" w:hAnsi="Verdana" w:cs="Verdana"/>
          <w:sz w:val="16"/>
          <w:szCs w:val="16"/>
          <w:rtl/>
        </w:rPr>
        <w:t xml:space="preserve"> </w:t>
      </w:r>
      <w:r>
        <w:rPr>
          <w:sz w:val="20"/>
          <w:szCs w:val="20"/>
          <w:rtl/>
        </w:rPr>
        <w:t xml:space="preserve">وفقاً لهذا القانون، تكون دولة واحدة فقط مسؤولة عن النظر في طلبك للحصول على اللجوء. يطُبق هذا القانون في </w:t>
      </w:r>
      <w:r>
        <w:rPr>
          <w:rFonts w:ascii="Verdana" w:eastAsia="Verdana" w:hAnsi="Verdana" w:cs="Verdana"/>
          <w:sz w:val="20"/>
          <w:szCs w:val="20"/>
        </w:rPr>
        <w:t>31</w:t>
      </w:r>
      <w:r>
        <w:rPr>
          <w:sz w:val="20"/>
          <w:szCs w:val="20"/>
          <w:rtl/>
        </w:rPr>
        <w:t xml:space="preserve"> دولة:  </w:t>
      </w:r>
    </w:p>
    <w:p w14:paraId="04DB9C42" w14:textId="77777777" w:rsidR="00E03623" w:rsidRDefault="00000000">
      <w:pPr>
        <w:bidi w:val="0"/>
        <w:spacing w:after="24" w:line="259" w:lineRule="auto"/>
        <w:ind w:left="61" w:firstLine="0"/>
        <w:jc w:val="left"/>
      </w:pPr>
      <w:r>
        <w:rPr>
          <w:rFonts w:ascii="Verdana" w:eastAsia="Verdana" w:hAnsi="Verdana" w:cs="Verdana"/>
          <w:sz w:val="16"/>
        </w:rPr>
        <w:t xml:space="preserve"> </w:t>
      </w:r>
    </w:p>
    <w:p w14:paraId="780644F3" w14:textId="77777777" w:rsidR="00E03623" w:rsidRDefault="00000000">
      <w:pPr>
        <w:spacing w:after="0" w:line="254" w:lineRule="auto"/>
        <w:ind w:left="-3" w:right="33" w:hanging="12"/>
        <w:jc w:val="right"/>
      </w:pPr>
      <w:proofErr w:type="gramStart"/>
      <w:r>
        <w:rPr>
          <w:rFonts w:ascii="Calibri" w:eastAsia="Calibri" w:hAnsi="Calibri" w:cs="Calibri"/>
          <w:i/>
          <w:color w:val="221E1F"/>
        </w:rPr>
        <w:t>a</w:t>
      </w:r>
      <w:r>
        <w:rPr>
          <w:rFonts w:ascii="Calibri" w:eastAsia="Calibri" w:hAnsi="Calibri" w:cs="Calibri"/>
          <w:color w:val="221E1F"/>
          <w:sz w:val="19"/>
          <w:szCs w:val="19"/>
          <w:rtl/>
        </w:rPr>
        <w:t>(</w:t>
      </w:r>
      <w:r>
        <w:rPr>
          <w:i/>
          <w:iCs/>
          <w:color w:val="221E1F"/>
          <w:szCs w:val="18"/>
          <w:rtl/>
        </w:rPr>
        <w:t xml:space="preserve"> </w:t>
      </w:r>
      <w:r>
        <w:rPr>
          <w:color w:val="221E1F"/>
          <w:sz w:val="19"/>
          <w:szCs w:val="19"/>
          <w:rtl/>
        </w:rPr>
        <w:t>دول</w:t>
      </w:r>
      <w:proofErr w:type="gramEnd"/>
      <w:r>
        <w:rPr>
          <w:color w:val="221E1F"/>
          <w:sz w:val="19"/>
          <w:szCs w:val="19"/>
          <w:rtl/>
        </w:rPr>
        <w:t xml:space="preserve"> الاتحاد الأوروبي البالغ عددها </w:t>
      </w:r>
      <w:r>
        <w:rPr>
          <w:rFonts w:ascii="Calibri" w:eastAsia="Calibri" w:hAnsi="Calibri" w:cs="Calibri"/>
          <w:color w:val="221E1F"/>
          <w:sz w:val="19"/>
          <w:szCs w:val="19"/>
        </w:rPr>
        <w:t>27</w:t>
      </w:r>
      <w:r>
        <w:rPr>
          <w:color w:val="221E1F"/>
          <w:sz w:val="19"/>
          <w:szCs w:val="19"/>
          <w:rtl/>
        </w:rPr>
        <w:t xml:space="preserve"> دولة وهي )النمسا) </w:t>
      </w:r>
      <w:r>
        <w:rPr>
          <w:rFonts w:ascii="Calibri" w:eastAsia="Calibri" w:hAnsi="Calibri" w:cs="Calibri"/>
          <w:i/>
          <w:color w:val="221E1F"/>
        </w:rPr>
        <w:t>AT)</w:t>
      </w:r>
      <w:r>
        <w:rPr>
          <w:color w:val="221E1F"/>
          <w:sz w:val="19"/>
          <w:szCs w:val="19"/>
          <w:rtl/>
        </w:rPr>
        <w:t xml:space="preserve">، بلجيكا) </w:t>
      </w:r>
      <w:r>
        <w:rPr>
          <w:rFonts w:ascii="Calibri" w:eastAsia="Calibri" w:hAnsi="Calibri" w:cs="Calibri"/>
          <w:i/>
          <w:color w:val="221E1F"/>
        </w:rPr>
        <w:t>BE)</w:t>
      </w:r>
      <w:r>
        <w:rPr>
          <w:color w:val="221E1F"/>
          <w:sz w:val="19"/>
          <w:szCs w:val="19"/>
          <w:rtl/>
        </w:rPr>
        <w:t xml:space="preserve">، بلغاريا) </w:t>
      </w:r>
      <w:r>
        <w:rPr>
          <w:rFonts w:ascii="Calibri" w:eastAsia="Calibri" w:hAnsi="Calibri" w:cs="Calibri"/>
          <w:i/>
          <w:color w:val="221E1F"/>
        </w:rPr>
        <w:t>BG)</w:t>
      </w:r>
      <w:r>
        <w:rPr>
          <w:color w:val="221E1F"/>
          <w:sz w:val="19"/>
          <w:szCs w:val="19"/>
          <w:rtl/>
        </w:rPr>
        <w:t xml:space="preserve">، كرواتيا) </w:t>
      </w:r>
      <w:r>
        <w:rPr>
          <w:rFonts w:ascii="Calibri" w:eastAsia="Calibri" w:hAnsi="Calibri" w:cs="Calibri"/>
          <w:i/>
          <w:color w:val="221E1F"/>
        </w:rPr>
        <w:t>HR)</w:t>
      </w:r>
      <w:r>
        <w:rPr>
          <w:color w:val="221E1F"/>
          <w:sz w:val="19"/>
          <w:szCs w:val="19"/>
          <w:rtl/>
        </w:rPr>
        <w:t>، قبرص )</w:t>
      </w:r>
      <w:r>
        <w:rPr>
          <w:rFonts w:ascii="Calibri" w:eastAsia="Calibri" w:hAnsi="Calibri" w:cs="Calibri"/>
          <w:i/>
          <w:color w:val="221E1F"/>
        </w:rPr>
        <w:t>CY)</w:t>
      </w:r>
      <w:r>
        <w:rPr>
          <w:color w:val="221E1F"/>
          <w:sz w:val="19"/>
          <w:szCs w:val="19"/>
          <w:rtl/>
        </w:rPr>
        <w:t xml:space="preserve">، جمهورية التشيك) </w:t>
      </w:r>
      <w:r>
        <w:rPr>
          <w:rFonts w:ascii="Calibri" w:eastAsia="Calibri" w:hAnsi="Calibri" w:cs="Calibri"/>
          <w:i/>
          <w:color w:val="221E1F"/>
        </w:rPr>
        <w:t>CZ)</w:t>
      </w:r>
      <w:r>
        <w:rPr>
          <w:color w:val="221E1F"/>
          <w:sz w:val="19"/>
          <w:szCs w:val="19"/>
          <w:rtl/>
        </w:rPr>
        <w:t xml:space="preserve">، الدنمارك)  </w:t>
      </w:r>
      <w:r>
        <w:rPr>
          <w:rFonts w:ascii="Calibri" w:eastAsia="Calibri" w:hAnsi="Calibri" w:cs="Calibri"/>
          <w:i/>
          <w:color w:val="221E1F"/>
        </w:rPr>
        <w:t>DK)</w:t>
      </w:r>
      <w:r>
        <w:rPr>
          <w:color w:val="221E1F"/>
          <w:sz w:val="19"/>
          <w:szCs w:val="19"/>
          <w:rtl/>
        </w:rPr>
        <w:t xml:space="preserve">، إستونيا) </w:t>
      </w:r>
      <w:r>
        <w:rPr>
          <w:rFonts w:ascii="Calibri" w:eastAsia="Calibri" w:hAnsi="Calibri" w:cs="Calibri"/>
          <w:i/>
          <w:color w:val="221E1F"/>
        </w:rPr>
        <w:t>ET)</w:t>
      </w:r>
      <w:r>
        <w:rPr>
          <w:color w:val="221E1F"/>
          <w:sz w:val="19"/>
          <w:szCs w:val="19"/>
          <w:rtl/>
        </w:rPr>
        <w:t xml:space="preserve">، فنلندا </w:t>
      </w:r>
      <w:r>
        <w:rPr>
          <w:rFonts w:ascii="Calibri" w:eastAsia="Calibri" w:hAnsi="Calibri" w:cs="Calibri"/>
          <w:i/>
          <w:color w:val="221E1F"/>
        </w:rPr>
        <w:t>(FI) )</w:t>
      </w:r>
      <w:r>
        <w:rPr>
          <w:color w:val="221E1F"/>
          <w:sz w:val="19"/>
          <w:szCs w:val="19"/>
          <w:rtl/>
        </w:rPr>
        <w:t xml:space="preserve">، فرنسا) </w:t>
      </w:r>
      <w:r>
        <w:rPr>
          <w:rFonts w:ascii="Calibri" w:eastAsia="Calibri" w:hAnsi="Calibri" w:cs="Calibri"/>
          <w:i/>
          <w:color w:val="221E1F"/>
        </w:rPr>
        <w:t>FR)</w:t>
      </w:r>
      <w:r>
        <w:rPr>
          <w:color w:val="221E1F"/>
          <w:sz w:val="19"/>
          <w:szCs w:val="19"/>
          <w:rtl/>
        </w:rPr>
        <w:t xml:space="preserve">، ألمانيا) </w:t>
      </w:r>
      <w:r>
        <w:rPr>
          <w:rFonts w:ascii="Calibri" w:eastAsia="Calibri" w:hAnsi="Calibri" w:cs="Calibri"/>
          <w:i/>
          <w:color w:val="221E1F"/>
        </w:rPr>
        <w:t>DE)</w:t>
      </w:r>
      <w:r>
        <w:rPr>
          <w:color w:val="221E1F"/>
          <w:sz w:val="19"/>
          <w:szCs w:val="19"/>
          <w:rtl/>
        </w:rPr>
        <w:t xml:space="preserve">، اليونان) </w:t>
      </w:r>
      <w:r>
        <w:rPr>
          <w:rFonts w:ascii="Calibri" w:eastAsia="Calibri" w:hAnsi="Calibri" w:cs="Calibri"/>
          <w:i/>
          <w:color w:val="221E1F"/>
        </w:rPr>
        <w:t>EL)</w:t>
      </w:r>
      <w:r>
        <w:rPr>
          <w:color w:val="221E1F"/>
          <w:sz w:val="19"/>
          <w:szCs w:val="19"/>
          <w:rtl/>
        </w:rPr>
        <w:t xml:space="preserve">، المجر </w:t>
      </w:r>
    </w:p>
    <w:p w14:paraId="2390083A" w14:textId="77777777" w:rsidR="00E03623" w:rsidRDefault="00000000">
      <w:pPr>
        <w:spacing w:after="0" w:line="254" w:lineRule="auto"/>
        <w:ind w:left="-3" w:right="33" w:hanging="12"/>
        <w:jc w:val="right"/>
      </w:pPr>
      <w:r>
        <w:rPr>
          <w:color w:val="221E1F"/>
          <w:sz w:val="19"/>
          <w:szCs w:val="19"/>
          <w:rtl/>
        </w:rPr>
        <w:t>)</w:t>
      </w:r>
      <w:r>
        <w:rPr>
          <w:rFonts w:ascii="Calibri" w:eastAsia="Calibri" w:hAnsi="Calibri" w:cs="Calibri"/>
          <w:i/>
          <w:color w:val="221E1F"/>
        </w:rPr>
        <w:t>HU)</w:t>
      </w:r>
      <w:r>
        <w:rPr>
          <w:color w:val="221E1F"/>
          <w:sz w:val="19"/>
          <w:szCs w:val="19"/>
          <w:rtl/>
        </w:rPr>
        <w:t xml:space="preserve">، أيرلندا)  </w:t>
      </w:r>
      <w:r>
        <w:rPr>
          <w:rFonts w:ascii="Calibri" w:eastAsia="Calibri" w:hAnsi="Calibri" w:cs="Calibri"/>
          <w:i/>
          <w:color w:val="221E1F"/>
        </w:rPr>
        <w:t>IE)</w:t>
      </w:r>
      <w:r>
        <w:rPr>
          <w:color w:val="221E1F"/>
          <w:sz w:val="19"/>
          <w:szCs w:val="19"/>
          <w:rtl/>
        </w:rPr>
        <w:t xml:space="preserve">، إيطاليا) </w:t>
      </w:r>
      <w:r>
        <w:rPr>
          <w:rFonts w:ascii="Calibri" w:eastAsia="Calibri" w:hAnsi="Calibri" w:cs="Calibri"/>
          <w:i/>
          <w:color w:val="221E1F"/>
        </w:rPr>
        <w:t>IT)</w:t>
      </w:r>
      <w:r>
        <w:rPr>
          <w:color w:val="221E1F"/>
          <w:sz w:val="19"/>
          <w:szCs w:val="19"/>
          <w:rtl/>
        </w:rPr>
        <w:t xml:space="preserve">، لاتفيا)  </w:t>
      </w:r>
      <w:r>
        <w:rPr>
          <w:rFonts w:ascii="Calibri" w:eastAsia="Calibri" w:hAnsi="Calibri" w:cs="Calibri"/>
          <w:i/>
          <w:color w:val="221E1F"/>
        </w:rPr>
        <w:t>LV)</w:t>
      </w:r>
      <w:r>
        <w:rPr>
          <w:color w:val="221E1F"/>
          <w:sz w:val="19"/>
          <w:szCs w:val="19"/>
          <w:rtl/>
        </w:rPr>
        <w:t xml:space="preserve">، ليتوانيا) </w:t>
      </w:r>
      <w:r>
        <w:rPr>
          <w:rFonts w:ascii="Calibri" w:eastAsia="Calibri" w:hAnsi="Calibri" w:cs="Calibri"/>
          <w:i/>
          <w:color w:val="221E1F"/>
        </w:rPr>
        <w:t>LT)</w:t>
      </w:r>
      <w:r>
        <w:rPr>
          <w:color w:val="221E1F"/>
          <w:sz w:val="19"/>
          <w:szCs w:val="19"/>
          <w:rtl/>
        </w:rPr>
        <w:t xml:space="preserve">، لوكسمبورغ)  </w:t>
      </w:r>
      <w:r>
        <w:rPr>
          <w:rFonts w:ascii="Calibri" w:eastAsia="Calibri" w:hAnsi="Calibri" w:cs="Calibri"/>
          <w:i/>
          <w:color w:val="221E1F"/>
        </w:rPr>
        <w:t>LU)</w:t>
      </w:r>
      <w:r>
        <w:rPr>
          <w:color w:val="221E1F"/>
          <w:sz w:val="19"/>
          <w:szCs w:val="19"/>
          <w:rtl/>
        </w:rPr>
        <w:t xml:space="preserve">، مالطا ) </w:t>
      </w:r>
      <w:r>
        <w:rPr>
          <w:rFonts w:ascii="Calibri" w:eastAsia="Calibri" w:hAnsi="Calibri" w:cs="Calibri"/>
          <w:i/>
          <w:color w:val="221E1F"/>
        </w:rPr>
        <w:t>MT)</w:t>
      </w:r>
      <w:r>
        <w:rPr>
          <w:color w:val="221E1F"/>
          <w:sz w:val="19"/>
          <w:szCs w:val="19"/>
          <w:rtl/>
        </w:rPr>
        <w:t xml:space="preserve">، هولندا) </w:t>
      </w:r>
      <w:r>
        <w:rPr>
          <w:rFonts w:ascii="Calibri" w:eastAsia="Calibri" w:hAnsi="Calibri" w:cs="Calibri"/>
          <w:i/>
          <w:color w:val="221E1F"/>
        </w:rPr>
        <w:t>NL)</w:t>
      </w:r>
      <w:r>
        <w:rPr>
          <w:color w:val="221E1F"/>
          <w:sz w:val="19"/>
          <w:szCs w:val="19"/>
          <w:rtl/>
        </w:rPr>
        <w:t xml:space="preserve">، بولندا) </w:t>
      </w:r>
      <w:r>
        <w:rPr>
          <w:rFonts w:ascii="Calibri" w:eastAsia="Calibri" w:hAnsi="Calibri" w:cs="Calibri"/>
          <w:i/>
          <w:color w:val="221E1F"/>
        </w:rPr>
        <w:t>PL)</w:t>
      </w:r>
      <w:r>
        <w:rPr>
          <w:color w:val="221E1F"/>
          <w:sz w:val="19"/>
          <w:szCs w:val="19"/>
          <w:rtl/>
        </w:rPr>
        <w:t xml:space="preserve">، البرتغال) </w:t>
      </w:r>
      <w:r>
        <w:rPr>
          <w:rFonts w:ascii="Calibri" w:eastAsia="Calibri" w:hAnsi="Calibri" w:cs="Calibri"/>
          <w:i/>
          <w:color w:val="221E1F"/>
        </w:rPr>
        <w:t>PT)</w:t>
      </w:r>
      <w:r>
        <w:rPr>
          <w:color w:val="221E1F"/>
          <w:sz w:val="19"/>
          <w:szCs w:val="19"/>
          <w:rtl/>
        </w:rPr>
        <w:t xml:space="preserve">، رومانيا) </w:t>
      </w:r>
      <w:r>
        <w:rPr>
          <w:rFonts w:ascii="Calibri" w:eastAsia="Calibri" w:hAnsi="Calibri" w:cs="Calibri"/>
          <w:i/>
          <w:color w:val="221E1F"/>
        </w:rPr>
        <w:t>RO)</w:t>
      </w:r>
      <w:r>
        <w:rPr>
          <w:color w:val="221E1F"/>
          <w:sz w:val="19"/>
          <w:szCs w:val="19"/>
          <w:rtl/>
        </w:rPr>
        <w:t xml:space="preserve">، سلوفاكيا) </w:t>
      </w:r>
      <w:r>
        <w:rPr>
          <w:rFonts w:ascii="Calibri" w:eastAsia="Calibri" w:hAnsi="Calibri" w:cs="Calibri"/>
          <w:i/>
          <w:color w:val="221E1F"/>
        </w:rPr>
        <w:t>SK)</w:t>
      </w:r>
      <w:r>
        <w:rPr>
          <w:color w:val="221E1F"/>
          <w:sz w:val="19"/>
          <w:szCs w:val="19"/>
          <w:rtl/>
        </w:rPr>
        <w:t xml:space="preserve">، سلوفينيا) </w:t>
      </w:r>
      <w:r>
        <w:rPr>
          <w:rFonts w:ascii="Calibri" w:eastAsia="Calibri" w:hAnsi="Calibri" w:cs="Calibri"/>
          <w:i/>
          <w:color w:val="221E1F"/>
        </w:rPr>
        <w:t>SI)</w:t>
      </w:r>
      <w:r>
        <w:rPr>
          <w:color w:val="221E1F"/>
          <w:sz w:val="19"/>
          <w:szCs w:val="19"/>
          <w:rtl/>
        </w:rPr>
        <w:t xml:space="preserve">، إسبانيا) </w:t>
      </w:r>
      <w:r>
        <w:rPr>
          <w:rFonts w:ascii="Calibri" w:eastAsia="Calibri" w:hAnsi="Calibri" w:cs="Calibri"/>
          <w:i/>
          <w:color w:val="221E1F"/>
        </w:rPr>
        <w:t>ES)</w:t>
      </w:r>
      <w:r>
        <w:rPr>
          <w:color w:val="221E1F"/>
          <w:sz w:val="19"/>
          <w:szCs w:val="19"/>
          <w:rtl/>
        </w:rPr>
        <w:t xml:space="preserve">، السويد) </w:t>
      </w:r>
      <w:r>
        <w:rPr>
          <w:rFonts w:ascii="Calibri" w:eastAsia="Calibri" w:hAnsi="Calibri" w:cs="Calibri"/>
          <w:i/>
          <w:color w:val="221E1F"/>
        </w:rPr>
        <w:t>SE)</w:t>
      </w:r>
      <w:r>
        <w:rPr>
          <w:color w:val="221E1F"/>
          <w:sz w:val="19"/>
          <w:szCs w:val="19"/>
          <w:rtl/>
        </w:rPr>
        <w:t xml:space="preserve"> ،</w:t>
      </w:r>
      <w:r>
        <w:rPr>
          <w:rFonts w:ascii="Calibri" w:eastAsia="Calibri" w:hAnsi="Calibri" w:cs="Calibri"/>
          <w:color w:val="221E1F"/>
          <w:sz w:val="19"/>
          <w:szCs w:val="19"/>
          <w:rtl/>
        </w:rPr>
        <w:t xml:space="preserve"> </w:t>
      </w:r>
      <w:r>
        <w:rPr>
          <w:rFonts w:ascii="Calibri" w:eastAsia="Calibri" w:hAnsi="Calibri" w:cs="Calibri"/>
          <w:i/>
          <w:color w:val="221E1F"/>
        </w:rPr>
        <w:t>b</w:t>
      </w:r>
      <w:r>
        <w:rPr>
          <w:rFonts w:ascii="Calibri" w:eastAsia="Calibri" w:hAnsi="Calibri" w:cs="Calibri"/>
          <w:color w:val="221E1F"/>
          <w:sz w:val="19"/>
          <w:szCs w:val="19"/>
          <w:rtl/>
        </w:rPr>
        <w:t>(</w:t>
      </w:r>
      <w:r>
        <w:rPr>
          <w:i/>
          <w:iCs/>
          <w:color w:val="221E1F"/>
          <w:szCs w:val="18"/>
          <w:rtl/>
        </w:rPr>
        <w:t xml:space="preserve"> </w:t>
      </w:r>
      <w:r>
        <w:rPr>
          <w:color w:val="221E1F"/>
          <w:sz w:val="19"/>
          <w:szCs w:val="19"/>
          <w:rtl/>
        </w:rPr>
        <w:t xml:space="preserve">والدول "المنتسبة" البالغ عددها </w:t>
      </w:r>
      <w:r>
        <w:rPr>
          <w:rFonts w:ascii="Calibri" w:eastAsia="Calibri" w:hAnsi="Calibri" w:cs="Calibri"/>
          <w:color w:val="221E1F"/>
          <w:sz w:val="19"/>
          <w:szCs w:val="19"/>
        </w:rPr>
        <w:t>4</w:t>
      </w:r>
      <w:r>
        <w:rPr>
          <w:color w:val="221E1F"/>
          <w:sz w:val="19"/>
          <w:szCs w:val="19"/>
          <w:rtl/>
        </w:rPr>
        <w:t xml:space="preserve"> دول وهي )النرويج) </w:t>
      </w:r>
      <w:r>
        <w:rPr>
          <w:rFonts w:ascii="Calibri" w:eastAsia="Calibri" w:hAnsi="Calibri" w:cs="Calibri"/>
          <w:i/>
          <w:color w:val="221E1F"/>
        </w:rPr>
        <w:t>NO</w:t>
      </w:r>
      <w:r>
        <w:rPr>
          <w:color w:val="221E1F"/>
          <w:sz w:val="19"/>
          <w:szCs w:val="19"/>
          <w:rtl/>
        </w:rPr>
        <w:t xml:space="preserve">( وأيسلندا) </w:t>
      </w:r>
      <w:r>
        <w:rPr>
          <w:rFonts w:ascii="Calibri" w:eastAsia="Calibri" w:hAnsi="Calibri" w:cs="Calibri"/>
          <w:i/>
          <w:color w:val="221E1F"/>
        </w:rPr>
        <w:t>IS</w:t>
      </w:r>
      <w:r>
        <w:rPr>
          <w:color w:val="221E1F"/>
          <w:sz w:val="19"/>
          <w:szCs w:val="19"/>
          <w:rtl/>
        </w:rPr>
        <w:t xml:space="preserve">( وسويسرا)  </w:t>
      </w:r>
      <w:r>
        <w:rPr>
          <w:rFonts w:ascii="Calibri" w:eastAsia="Calibri" w:hAnsi="Calibri" w:cs="Calibri"/>
          <w:i/>
          <w:color w:val="221E1F"/>
        </w:rPr>
        <w:t>CH</w:t>
      </w:r>
      <w:r>
        <w:rPr>
          <w:color w:val="221E1F"/>
          <w:sz w:val="19"/>
          <w:szCs w:val="19"/>
          <w:rtl/>
        </w:rPr>
        <w:t xml:space="preserve">( وليختنشتاين) </w:t>
      </w:r>
      <w:r>
        <w:rPr>
          <w:rFonts w:ascii="Calibri" w:eastAsia="Calibri" w:hAnsi="Calibri" w:cs="Calibri"/>
          <w:i/>
          <w:color w:val="221E1F"/>
        </w:rPr>
        <w:t>LI</w:t>
      </w:r>
      <w:r>
        <w:rPr>
          <w:color w:val="221E1F"/>
          <w:sz w:val="19"/>
          <w:szCs w:val="19"/>
          <w:rtl/>
        </w:rPr>
        <w:t xml:space="preserve">(. </w:t>
      </w:r>
      <w:r>
        <w:rPr>
          <w:rFonts w:ascii="Calibri" w:eastAsia="Calibri" w:hAnsi="Calibri" w:cs="Calibri"/>
          <w:color w:val="221E1F"/>
          <w:sz w:val="19"/>
          <w:szCs w:val="19"/>
          <w:rtl/>
        </w:rPr>
        <w:t xml:space="preserve"> </w:t>
      </w:r>
    </w:p>
    <w:p w14:paraId="67986CEA" w14:textId="77777777" w:rsidR="00E03623" w:rsidRDefault="00000000">
      <w:pPr>
        <w:spacing w:after="3" w:line="235" w:lineRule="auto"/>
        <w:ind w:left="-3" w:hanging="10"/>
        <w:jc w:val="left"/>
      </w:pPr>
      <w:r>
        <w:rPr>
          <w:rFonts w:ascii="Verdana" w:eastAsia="Verdana" w:hAnsi="Verdana" w:cs="Verdana"/>
          <w:sz w:val="16"/>
          <w:szCs w:val="16"/>
          <w:rtl/>
        </w:rPr>
        <w:t xml:space="preserve"> </w:t>
      </w:r>
      <w:r>
        <w:rPr>
          <w:sz w:val="20"/>
          <w:szCs w:val="20"/>
          <w:rtl/>
        </w:rPr>
        <w:t xml:space="preserve">قد تكون الدولة مسؤولة عن النظر في طلبك لعدد من الأسباب مثل:  </w:t>
      </w:r>
    </w:p>
    <w:p w14:paraId="5D9730A9" w14:textId="77777777" w:rsidR="00E03623" w:rsidRDefault="00000000">
      <w:pPr>
        <w:bidi w:val="0"/>
        <w:spacing w:after="22" w:line="259" w:lineRule="auto"/>
        <w:ind w:left="61" w:firstLine="0"/>
        <w:jc w:val="left"/>
      </w:pPr>
      <w:r>
        <w:rPr>
          <w:rFonts w:ascii="Calibri" w:eastAsia="Calibri" w:hAnsi="Calibri" w:cs="Calibri"/>
        </w:rPr>
        <w:t xml:space="preserve"> </w:t>
      </w:r>
    </w:p>
    <w:p w14:paraId="0C32B391" w14:textId="77777777" w:rsidR="00E03623" w:rsidRDefault="00000000">
      <w:pPr>
        <w:spacing w:after="0" w:line="259" w:lineRule="auto"/>
        <w:ind w:left="47" w:firstLine="0"/>
        <w:jc w:val="left"/>
      </w:pPr>
      <w:r>
        <w:rPr>
          <w:sz w:val="22"/>
          <w:rtl/>
        </w:rPr>
        <w:t>في حالة مقدمي الطلبات البالغين و/أو الأس ر</w:t>
      </w:r>
      <w:r>
        <w:rPr>
          <w:rFonts w:ascii="Calibri" w:eastAsia="Calibri" w:hAnsi="Calibri" w:cs="Calibri"/>
          <w:sz w:val="22"/>
          <w:rtl/>
        </w:rPr>
        <w:t xml:space="preserve"> </w:t>
      </w:r>
    </w:p>
    <w:p w14:paraId="101F71EF" w14:textId="77777777" w:rsidR="00E03623" w:rsidRDefault="00000000">
      <w:pPr>
        <w:spacing w:after="0" w:line="240" w:lineRule="auto"/>
        <w:ind w:left="45" w:right="61" w:firstLine="5"/>
      </w:pPr>
      <w:r>
        <w:rPr>
          <w:color w:val="212121"/>
          <w:sz w:val="22"/>
          <w:rtl/>
        </w:rPr>
        <w:t>إذا دخلت دولة عضو أخرى أو عشت فيها، وحصلت على تأشيرة أو تصريح إقامة صادر عن إحدى بلدان دبلن، قبل دخول قبرص، فقد تكون هذه الدولة مسؤولة عن النظر في طلبك للحصول على الحماية الدولية في دولة عضو  أخر ى</w:t>
      </w:r>
      <w:r>
        <w:rPr>
          <w:sz w:val="20"/>
          <w:szCs w:val="20"/>
          <w:rtl/>
        </w:rPr>
        <w:t xml:space="preserve"> </w:t>
      </w:r>
    </w:p>
    <w:p w14:paraId="21629067" w14:textId="77777777" w:rsidR="00E03623" w:rsidRDefault="00000000">
      <w:pPr>
        <w:bidi w:val="0"/>
        <w:spacing w:after="181" w:line="259" w:lineRule="auto"/>
        <w:ind w:left="61" w:firstLine="0"/>
        <w:jc w:val="left"/>
      </w:pPr>
      <w:r>
        <w:rPr>
          <w:rFonts w:ascii="Calibri" w:eastAsia="Calibri" w:hAnsi="Calibri" w:cs="Calibri"/>
          <w:color w:val="212121"/>
        </w:rPr>
        <w:t xml:space="preserve"> </w:t>
      </w:r>
    </w:p>
    <w:p w14:paraId="5D4A8A32" w14:textId="36F62EE2" w:rsidR="00E03623" w:rsidRDefault="00000000">
      <w:pPr>
        <w:spacing w:after="174" w:line="232" w:lineRule="auto"/>
        <w:ind w:left="45" w:right="61" w:firstLine="8"/>
      </w:pPr>
      <w:r>
        <w:rPr>
          <w:color w:val="212121"/>
          <w:szCs w:val="18"/>
          <w:rtl/>
        </w:rPr>
        <w:t>إذا كان أحد أفراد الأسرة المقربين أو أحد الأقارب ) مثل الزوج أو الشريك غير المتزوج الذي تربطك به علاقة مستقرة أو الأطفال أو الأشقاء أو غيرهم( موجود في دولة عضو أخرى وترغب في الانضمام إليه..</w:t>
      </w:r>
      <w:r>
        <w:rPr>
          <w:szCs w:val="18"/>
          <w:rtl/>
        </w:rPr>
        <w:t xml:space="preserve"> إذا كان أحد أفراد الأسرة موجوًدًا في بلٍدٍ آخر من بلدان دبلن، فمن الأهمية بمكان إبلاغنا بذلك في أقرب وقت ممكن. </w:t>
      </w:r>
      <w:r>
        <w:rPr>
          <w:rFonts w:ascii="Cambria" w:eastAsia="Cambria" w:hAnsi="Cambria" w:cs="Cambria"/>
          <w:sz w:val="24"/>
          <w:szCs w:val="24"/>
          <w:rtl/>
        </w:rPr>
        <w:t xml:space="preserve"> </w:t>
      </w:r>
    </w:p>
    <w:p w14:paraId="0FA484A5" w14:textId="77777777" w:rsidR="00E03623" w:rsidRDefault="00000000">
      <w:pPr>
        <w:spacing w:after="0" w:line="259" w:lineRule="auto"/>
        <w:ind w:left="41" w:hanging="10"/>
        <w:jc w:val="left"/>
      </w:pPr>
      <w:r>
        <w:rPr>
          <w:szCs w:val="18"/>
          <w:rtl/>
        </w:rPr>
        <w:t xml:space="preserve">يرجى ذكر أفراد أسرتك في نموذج طلبك. </w:t>
      </w:r>
      <w:r>
        <w:rPr>
          <w:sz w:val="22"/>
          <w:rtl/>
        </w:rPr>
        <w:t xml:space="preserve"> </w:t>
      </w:r>
    </w:p>
    <w:p w14:paraId="358177AC" w14:textId="77777777" w:rsidR="00E03623" w:rsidRDefault="00000000">
      <w:pPr>
        <w:spacing w:after="0" w:line="259" w:lineRule="auto"/>
        <w:ind w:left="41" w:hanging="10"/>
        <w:jc w:val="left"/>
      </w:pPr>
      <w:r>
        <w:rPr>
          <w:rFonts w:ascii="Verdana" w:eastAsia="Verdana" w:hAnsi="Verdana" w:cs="Verdana"/>
          <w:sz w:val="16"/>
          <w:szCs w:val="16"/>
          <w:rtl/>
        </w:rPr>
        <w:t xml:space="preserve"> </w:t>
      </w:r>
      <w:r>
        <w:rPr>
          <w:szCs w:val="18"/>
          <w:rtl/>
        </w:rPr>
        <w:t xml:space="preserve">في حالة القصر غير المصحوبين بذويهم: </w:t>
      </w:r>
      <w:r>
        <w:rPr>
          <w:rFonts w:ascii="Calibri" w:eastAsia="Calibri" w:hAnsi="Calibri" w:cs="Calibri"/>
          <w:szCs w:val="18"/>
          <w:rtl/>
        </w:rPr>
        <w:t xml:space="preserve"> </w:t>
      </w:r>
    </w:p>
    <w:p w14:paraId="42D8D122" w14:textId="77777777" w:rsidR="00E03623" w:rsidRDefault="00000000">
      <w:pPr>
        <w:ind w:left="-12" w:right="-10"/>
      </w:pPr>
      <w:r>
        <w:rPr>
          <w:szCs w:val="18"/>
          <w:rtl/>
        </w:rPr>
        <w:t xml:space="preserve">إذا كان عمرك أقل من </w:t>
      </w:r>
      <w:r>
        <w:rPr>
          <w:rFonts w:ascii="Calibri" w:eastAsia="Calibri" w:hAnsi="Calibri" w:cs="Calibri"/>
          <w:szCs w:val="18"/>
        </w:rPr>
        <w:t>18</w:t>
      </w:r>
      <w:r>
        <w:rPr>
          <w:szCs w:val="18"/>
          <w:rtl/>
        </w:rPr>
        <w:t xml:space="preserve"> عامًا ولم تصل إلى البلاد مع شخص بالغ آخر مسؤول عنك، فيمكنك الانضمام إلى والديك أو أشقائك أو أقاربك )العم أو العمة أو الأجداد( الموجودين في بلٍدٍ آخر من بلدان "دبلن". ويمكن أن تكون هذه الدولة مسؤولة عن النظر في طلبك للحصول على اللجوء. يرجى ذكر أقاربك في نموذج طلبك. </w:t>
      </w:r>
      <w:r>
        <w:rPr>
          <w:rFonts w:ascii="Calibri" w:eastAsia="Calibri" w:hAnsi="Calibri" w:cs="Calibri"/>
          <w:szCs w:val="18"/>
          <w:rtl/>
        </w:rPr>
        <w:t xml:space="preserve"> </w:t>
      </w:r>
    </w:p>
    <w:p w14:paraId="12DBE26A" w14:textId="77777777" w:rsidR="00E03623" w:rsidRDefault="00000000">
      <w:pPr>
        <w:bidi w:val="0"/>
        <w:spacing w:after="0" w:line="259" w:lineRule="auto"/>
        <w:ind w:left="61" w:firstLine="0"/>
        <w:jc w:val="left"/>
      </w:pPr>
      <w:r>
        <w:rPr>
          <w:rFonts w:ascii="Calibri" w:eastAsia="Calibri" w:hAnsi="Calibri" w:cs="Calibri"/>
        </w:rPr>
        <w:t xml:space="preserve"> </w:t>
      </w:r>
    </w:p>
    <w:p w14:paraId="1889C6EA" w14:textId="77777777" w:rsidR="00E03623" w:rsidRDefault="00000000">
      <w:pPr>
        <w:ind w:left="-12" w:right="-10"/>
      </w:pPr>
      <w:r>
        <w:rPr>
          <w:szCs w:val="18"/>
          <w:rtl/>
        </w:rPr>
        <w:t>لا يجوز لك البقاء في قبرص إلا إذا تقرَّر أننا مسؤولون عن النظر في طلبك للحصول على اللجوء. إذا كانت دولة أخرى مسؤولة، فسنرتب لنقلك إلى تلك الدولة حيث سيتم النظر في طلبك هناك. أثناء إقامتك هنا، يحق لك الاستفادة من ظروف الاستقبال المادية، مثل الإقامة والطعام وما إلى ذلك، فضلًا عن الرعاية الطبية الأساسية والمساعدة الطبية الطارئة.</w:t>
      </w:r>
      <w:r>
        <w:rPr>
          <w:rFonts w:ascii="Calibri" w:eastAsia="Calibri" w:hAnsi="Calibri" w:cs="Calibri"/>
          <w:szCs w:val="18"/>
          <w:rtl/>
        </w:rPr>
        <w:t xml:space="preserve"> </w:t>
      </w:r>
    </w:p>
    <w:p w14:paraId="78A0C0A4" w14:textId="77777777" w:rsidR="00E03623" w:rsidRDefault="00000000">
      <w:pPr>
        <w:bidi w:val="0"/>
        <w:spacing w:after="0" w:line="259" w:lineRule="auto"/>
        <w:ind w:left="61" w:firstLine="0"/>
        <w:jc w:val="left"/>
      </w:pPr>
      <w:r>
        <w:rPr>
          <w:rFonts w:ascii="Calibri" w:eastAsia="Calibri" w:hAnsi="Calibri" w:cs="Calibri"/>
        </w:rPr>
        <w:t xml:space="preserve"> </w:t>
      </w:r>
    </w:p>
    <w:p w14:paraId="4A0B5847" w14:textId="77777777" w:rsidR="00E03623" w:rsidRDefault="00000000">
      <w:pPr>
        <w:ind w:left="-12" w:right="-10"/>
      </w:pPr>
      <w:r>
        <w:rPr>
          <w:szCs w:val="18"/>
          <w:rtl/>
        </w:rPr>
        <w:t xml:space="preserve">إذا تخليت عن طلبك للجوء وانتقلت إلى بلٍدٍ آخر من بلدان دبلن، فمن المحتمل أن يتم إحالتك إلى قبرص أو إلى الدولة المسؤولة عن النظر في طلبك. يرُجى العلم أنه إذا ارتأينا أنه من المحتمل أن تحاول الهروب أو الاختباء لأنك لا ترغب في أن نقوم بإرسالك إلى بلد آخر، فقد يتم وضعك قيد الاحتجاز. </w:t>
      </w:r>
      <w:r>
        <w:rPr>
          <w:rFonts w:ascii="Calibri" w:eastAsia="Calibri" w:hAnsi="Calibri" w:cs="Calibri"/>
          <w:szCs w:val="18"/>
          <w:rtl/>
        </w:rPr>
        <w:t xml:space="preserve"> </w:t>
      </w:r>
    </w:p>
    <w:p w14:paraId="304669A5" w14:textId="77777777" w:rsidR="00E03623" w:rsidRDefault="00000000">
      <w:pPr>
        <w:bidi w:val="0"/>
        <w:spacing w:after="0" w:line="259" w:lineRule="auto"/>
        <w:ind w:left="61" w:firstLine="0"/>
        <w:jc w:val="left"/>
      </w:pPr>
      <w:r>
        <w:rPr>
          <w:rFonts w:ascii="Calibri" w:eastAsia="Calibri" w:hAnsi="Calibri" w:cs="Calibri"/>
        </w:rPr>
        <w:t xml:space="preserve"> </w:t>
      </w:r>
    </w:p>
    <w:p w14:paraId="184FAE38" w14:textId="77777777" w:rsidR="00E03623" w:rsidRDefault="00000000">
      <w:pPr>
        <w:ind w:left="-12" w:right="-10"/>
      </w:pPr>
      <w:r>
        <w:rPr>
          <w:szCs w:val="18"/>
          <w:rtl/>
        </w:rPr>
        <w:t xml:space="preserve">يمكنك الطعن في قرار إحالتك إلى بلٍدٍ آخر من بلدان "دبلن" أمام المحكمة الإدارية للحماية الدولية) </w:t>
      </w:r>
      <w:r>
        <w:rPr>
          <w:rFonts w:ascii="Calibri" w:eastAsia="Calibri" w:hAnsi="Calibri" w:cs="Calibri"/>
        </w:rPr>
        <w:t>IPAC</w:t>
      </w:r>
      <w:r>
        <w:rPr>
          <w:szCs w:val="18"/>
          <w:rtl/>
        </w:rPr>
        <w:t xml:space="preserve">( في نيقوسيا. العنوان: كوستي بالاما  </w:t>
      </w:r>
      <w:r>
        <w:rPr>
          <w:rFonts w:ascii="Calibri" w:eastAsia="Calibri" w:hAnsi="Calibri" w:cs="Calibri"/>
          <w:szCs w:val="18"/>
        </w:rPr>
        <w:t>5</w:t>
      </w:r>
      <w:r>
        <w:rPr>
          <w:szCs w:val="18"/>
          <w:rtl/>
        </w:rPr>
        <w:t xml:space="preserve">،  </w:t>
      </w:r>
      <w:r>
        <w:rPr>
          <w:rFonts w:ascii="Calibri" w:eastAsia="Calibri" w:hAnsi="Calibri" w:cs="Calibri"/>
          <w:szCs w:val="18"/>
        </w:rPr>
        <w:t>1096</w:t>
      </w:r>
      <w:r>
        <w:rPr>
          <w:szCs w:val="18"/>
          <w:rtl/>
        </w:rPr>
        <w:t xml:space="preserve">، نيقوسيا، قبرص، معلومات الاتصال: هاتف:  </w:t>
      </w:r>
      <w:r>
        <w:rPr>
          <w:rFonts w:ascii="Calibri" w:eastAsia="Calibri" w:hAnsi="Calibri" w:cs="Calibri"/>
          <w:szCs w:val="18"/>
        </w:rPr>
        <w:t>22747500</w:t>
      </w:r>
      <w:r>
        <w:rPr>
          <w:szCs w:val="18"/>
          <w:rtl/>
        </w:rPr>
        <w:t>/</w:t>
      </w:r>
      <w:r>
        <w:rPr>
          <w:rFonts w:ascii="Calibri" w:eastAsia="Calibri" w:hAnsi="Calibri" w:cs="Calibri"/>
          <w:szCs w:val="18"/>
        </w:rPr>
        <w:t>501</w:t>
      </w:r>
      <w:r>
        <w:rPr>
          <w:szCs w:val="18"/>
          <w:rtl/>
        </w:rPr>
        <w:t xml:space="preserve">  )+</w:t>
      </w:r>
      <w:r>
        <w:rPr>
          <w:rFonts w:ascii="Calibri" w:eastAsia="Calibri" w:hAnsi="Calibri" w:cs="Calibri"/>
          <w:szCs w:val="18"/>
        </w:rPr>
        <w:t>357</w:t>
      </w:r>
      <w:r>
        <w:rPr>
          <w:szCs w:val="18"/>
          <w:rtl/>
        </w:rPr>
        <w:t xml:space="preserve">( فاكس:  </w:t>
      </w:r>
      <w:r>
        <w:rPr>
          <w:rFonts w:ascii="Calibri" w:eastAsia="Calibri" w:hAnsi="Calibri" w:cs="Calibri"/>
          <w:szCs w:val="18"/>
        </w:rPr>
        <w:t>22747537</w:t>
      </w:r>
      <w:r>
        <w:rPr>
          <w:szCs w:val="18"/>
          <w:rtl/>
        </w:rPr>
        <w:t xml:space="preserve"> </w:t>
      </w:r>
    </w:p>
    <w:p w14:paraId="43DB5490" w14:textId="77777777" w:rsidR="00E03623" w:rsidRDefault="00000000">
      <w:pPr>
        <w:bidi w:val="0"/>
        <w:spacing w:after="0" w:line="259" w:lineRule="auto"/>
        <w:ind w:left="0" w:right="1" w:firstLine="0"/>
        <w:jc w:val="right"/>
      </w:pPr>
      <w:r>
        <w:rPr>
          <w:rFonts w:ascii="Calibri" w:eastAsia="Calibri" w:hAnsi="Calibri" w:cs="Calibri"/>
        </w:rPr>
        <w:t xml:space="preserve"> </w:t>
      </w:r>
      <w:r>
        <w:t>.)</w:t>
      </w:r>
      <w:r>
        <w:rPr>
          <w:rFonts w:ascii="Calibri" w:eastAsia="Calibri" w:hAnsi="Calibri" w:cs="Calibri"/>
        </w:rPr>
        <w:t>357</w:t>
      </w:r>
      <w:proofErr w:type="gramStart"/>
      <w:r>
        <w:t>+(</w:t>
      </w:r>
      <w:proofErr w:type="gramEnd"/>
    </w:p>
    <w:p w14:paraId="5047F752" w14:textId="77777777" w:rsidR="00E03623" w:rsidRDefault="00000000">
      <w:pPr>
        <w:bidi w:val="0"/>
        <w:spacing w:after="0" w:line="259" w:lineRule="auto"/>
        <w:ind w:left="0" w:firstLine="0"/>
        <w:jc w:val="left"/>
      </w:pPr>
      <w:r>
        <w:rPr>
          <w:rFonts w:ascii="Calibri" w:eastAsia="Calibri" w:hAnsi="Calibri" w:cs="Calibri"/>
        </w:rPr>
        <w:t xml:space="preserve"> </w:t>
      </w:r>
    </w:p>
    <w:p w14:paraId="73E7EAEA" w14:textId="77777777" w:rsidR="00E03623" w:rsidRDefault="00000000">
      <w:pPr>
        <w:spacing w:after="0" w:line="259" w:lineRule="auto"/>
        <w:ind w:left="41" w:hanging="10"/>
        <w:jc w:val="left"/>
      </w:pPr>
      <w:r>
        <w:rPr>
          <w:szCs w:val="18"/>
          <w:rtl/>
        </w:rPr>
        <w:t>أخذ البصمات</w:t>
      </w:r>
      <w:r>
        <w:rPr>
          <w:rFonts w:ascii="Calibri" w:eastAsia="Calibri" w:hAnsi="Calibri" w:cs="Calibri"/>
          <w:szCs w:val="18"/>
          <w:rtl/>
        </w:rPr>
        <w:t xml:space="preserve"> </w:t>
      </w:r>
    </w:p>
    <w:p w14:paraId="232C02F4" w14:textId="77777777" w:rsidR="00E03623" w:rsidRDefault="00000000">
      <w:pPr>
        <w:ind w:left="-12" w:right="-10"/>
      </w:pPr>
      <w:r>
        <w:rPr>
          <w:szCs w:val="18"/>
          <w:rtl/>
        </w:rPr>
        <w:t xml:space="preserve">عندما تقدم طلب لجوء، إذا كان سنك </w:t>
      </w:r>
      <w:r>
        <w:rPr>
          <w:rFonts w:ascii="Calibri" w:eastAsia="Calibri" w:hAnsi="Calibri" w:cs="Calibri"/>
          <w:szCs w:val="18"/>
        </w:rPr>
        <w:t>14</w:t>
      </w:r>
      <w:r>
        <w:rPr>
          <w:szCs w:val="18"/>
          <w:rtl/>
        </w:rPr>
        <w:t xml:space="preserve"> عامًا فأكثر، ستؤخذ بصمات أصابعك وترسل إلى قاعدة بيانات مضاهاة بصمات الأصابع المسماة "يوروداك". وأنت ملزم قانونًا بالخضوع لإجراء أخذ البصمات. ستضاهى بصمات أصابعك في قاعدة يوروداك لمعرفة ما إذا كنت قد قدمت طلب لجوء من قبل أو لمعرفة ما إذا سبق أخذ بصمات أصابعك على الحدود. حيث يساعد ذلك على تحديد أي بلد من بلدان "دبلن" مسؤولة عن دراسة طلب لجوئك. وسيتم تخزين بيانات بصمات أصابعك في قاعدة يوروداك لمدة </w:t>
      </w:r>
      <w:r>
        <w:rPr>
          <w:rFonts w:ascii="Calibri" w:eastAsia="Calibri" w:hAnsi="Calibri" w:cs="Calibri"/>
          <w:szCs w:val="18"/>
        </w:rPr>
        <w:t>10</w:t>
      </w:r>
      <w:r>
        <w:rPr>
          <w:szCs w:val="18"/>
          <w:rtl/>
        </w:rPr>
        <w:t xml:space="preserve"> سنوات. وإذا أصبحت مواطنًا لإحدى بلدان دبلن، فستحذَّف بصمات أصابعك. سيتم تخزين بصمات أصابعك وجنسك في قاعدة يوروداك -  ولا يتم إرسال اسمك وصورتك وتاريخ ميلادك وجنسيتك إلى قاعدة بيانات يوروداك ،ولكن يتم تخزينها في قاعدة البيانات الوطنية.</w:t>
      </w:r>
      <w:r>
        <w:rPr>
          <w:rFonts w:ascii="Calibri" w:eastAsia="Calibri" w:hAnsi="Calibri" w:cs="Calibri"/>
          <w:szCs w:val="18"/>
          <w:rtl/>
        </w:rPr>
        <w:t xml:space="preserve"> </w:t>
      </w:r>
    </w:p>
    <w:p w14:paraId="6A7A0C80" w14:textId="77777777" w:rsidR="00E03623" w:rsidRDefault="00000000">
      <w:pPr>
        <w:bidi w:val="0"/>
        <w:spacing w:after="0" w:line="259" w:lineRule="auto"/>
        <w:ind w:left="0" w:firstLine="0"/>
        <w:jc w:val="left"/>
      </w:pPr>
      <w:r>
        <w:rPr>
          <w:rFonts w:ascii="Calibri" w:eastAsia="Calibri" w:hAnsi="Calibri" w:cs="Calibri"/>
        </w:rPr>
        <w:t xml:space="preserve"> </w:t>
      </w:r>
    </w:p>
    <w:p w14:paraId="673E7DBD" w14:textId="77777777" w:rsidR="00E03623" w:rsidRDefault="00000000">
      <w:pPr>
        <w:ind w:left="-12" w:right="-10"/>
      </w:pPr>
      <w:r>
        <w:rPr>
          <w:szCs w:val="18"/>
          <w:rtl/>
        </w:rPr>
        <w:t>فإذا طلبت اللجوء مستقبلًا في بلد آخر من بلدان دبلن، فسترسل بصمات أصابعك إلى تلك الدولة لمضاهاتها. ولن تتم مشاركة بياناتك المخزنة في يوروداك مع أي بلد أو منظمة أخرى خارج بلدان دبلن.</w:t>
      </w:r>
      <w:r>
        <w:rPr>
          <w:rFonts w:ascii="Calibri" w:eastAsia="Calibri" w:hAnsi="Calibri" w:cs="Calibri"/>
          <w:szCs w:val="18"/>
          <w:rtl/>
        </w:rPr>
        <w:t xml:space="preserve"> </w:t>
      </w:r>
    </w:p>
    <w:p w14:paraId="636AA36F" w14:textId="77777777" w:rsidR="00E03623" w:rsidRDefault="00000000">
      <w:pPr>
        <w:bidi w:val="0"/>
        <w:spacing w:after="2" w:line="259" w:lineRule="auto"/>
        <w:ind w:left="0" w:firstLine="0"/>
        <w:jc w:val="left"/>
      </w:pPr>
      <w:r>
        <w:rPr>
          <w:rFonts w:ascii="Calibri" w:eastAsia="Calibri" w:hAnsi="Calibri" w:cs="Calibri"/>
        </w:rPr>
        <w:t xml:space="preserve"> </w:t>
      </w:r>
    </w:p>
    <w:p w14:paraId="0D0CC91F" w14:textId="77777777" w:rsidR="00E03623" w:rsidRDefault="00000000">
      <w:pPr>
        <w:spacing w:after="31"/>
        <w:ind w:left="-12" w:right="-10"/>
      </w:pPr>
      <w:r>
        <w:rPr>
          <w:szCs w:val="18"/>
          <w:rtl/>
        </w:rPr>
        <w:t>ستتاح لك الفرصة لتزويدنا بمعلومات حول وضعك ووجود أفراد أسرتك على أراضي بلدان دبلن شفهياً خلال مقابلة "دبلن" بحضور مترجم شفوي. وستحصل أيضًا على نسخة مكتوبة من قرار نقلك إلى بلد آخر .</w:t>
      </w:r>
      <w:r>
        <w:rPr>
          <w:rFonts w:ascii="Calibri" w:eastAsia="Calibri" w:hAnsi="Calibri" w:cs="Calibri"/>
          <w:szCs w:val="18"/>
          <w:rtl/>
        </w:rPr>
        <w:t xml:space="preserve"> </w:t>
      </w:r>
    </w:p>
    <w:p w14:paraId="3E8C5E0A" w14:textId="77777777" w:rsidR="00E03623" w:rsidRDefault="00000000">
      <w:pPr>
        <w:spacing w:after="3" w:line="235" w:lineRule="auto"/>
        <w:ind w:left="-3" w:hanging="10"/>
        <w:jc w:val="left"/>
      </w:pPr>
      <w:r>
        <w:rPr>
          <w:rFonts w:ascii="Verdana" w:eastAsia="Verdana" w:hAnsi="Verdana" w:cs="Verdana"/>
          <w:sz w:val="20"/>
          <w:szCs w:val="20"/>
          <w:rtl/>
        </w:rPr>
        <w:t xml:space="preserve"> </w:t>
      </w:r>
      <w:r>
        <w:rPr>
          <w:sz w:val="20"/>
          <w:szCs w:val="20"/>
          <w:rtl/>
        </w:rPr>
        <w:t xml:space="preserve">معلومات الاتصال:  </w:t>
      </w:r>
    </w:p>
    <w:p w14:paraId="2A006CD1" w14:textId="77777777" w:rsidR="00E03623" w:rsidRDefault="00000000">
      <w:pPr>
        <w:spacing w:after="20"/>
        <w:ind w:left="-7" w:right="4227" w:hanging="7"/>
        <w:jc w:val="right"/>
      </w:pPr>
      <w:r>
        <w:rPr>
          <w:sz w:val="20"/>
          <w:szCs w:val="20"/>
          <w:u w:val="single" w:color="000000"/>
          <w:rtl/>
        </w:rPr>
        <w:t>هوية مراقب قاعدة بيانات يوروداك وممثله؛</w:t>
      </w:r>
      <w:r>
        <w:rPr>
          <w:sz w:val="20"/>
          <w:szCs w:val="20"/>
          <w:rtl/>
        </w:rPr>
        <w:t xml:space="preserve"> وحدة دبلن، دائرة اللجوء  </w:t>
      </w:r>
    </w:p>
    <w:p w14:paraId="6D5B56D4" w14:textId="77777777" w:rsidR="00E03623" w:rsidRDefault="00000000">
      <w:pPr>
        <w:spacing w:after="4" w:line="242" w:lineRule="auto"/>
        <w:ind w:left="-6" w:right="2798" w:hanging="9"/>
      </w:pPr>
      <w:r>
        <w:rPr>
          <w:rFonts w:ascii="Verdana" w:eastAsia="Verdana" w:hAnsi="Verdana" w:cs="Verdana"/>
          <w:sz w:val="20"/>
          <w:szCs w:val="20"/>
        </w:rPr>
        <w:t>70</w:t>
      </w:r>
      <w:r>
        <w:rPr>
          <w:sz w:val="20"/>
          <w:szCs w:val="20"/>
          <w:rtl/>
        </w:rPr>
        <w:t xml:space="preserve"> شارع القديس مكاريوس الثالث، بيت أفيميا ،</w:t>
      </w:r>
      <w:r>
        <w:rPr>
          <w:rFonts w:ascii="Verdana" w:eastAsia="Verdana" w:hAnsi="Verdana" w:cs="Verdana"/>
          <w:sz w:val="20"/>
          <w:szCs w:val="20"/>
        </w:rPr>
        <w:t>1077</w:t>
      </w:r>
      <w:r>
        <w:rPr>
          <w:sz w:val="20"/>
          <w:szCs w:val="20"/>
          <w:rtl/>
        </w:rPr>
        <w:t xml:space="preserve"> </w:t>
      </w:r>
      <w:proofErr w:type="gramStart"/>
      <w:r>
        <w:rPr>
          <w:sz w:val="20"/>
          <w:szCs w:val="20"/>
          <w:rtl/>
        </w:rPr>
        <w:t>ليفكوسيا  هاتف</w:t>
      </w:r>
      <w:proofErr w:type="gramEnd"/>
      <w:r>
        <w:rPr>
          <w:sz w:val="20"/>
          <w:szCs w:val="20"/>
          <w:rtl/>
        </w:rPr>
        <w:t xml:space="preserve">: </w:t>
      </w:r>
      <w:r>
        <w:rPr>
          <w:rFonts w:ascii="Verdana" w:eastAsia="Verdana" w:hAnsi="Verdana" w:cs="Verdana"/>
          <w:sz w:val="20"/>
          <w:szCs w:val="20"/>
        </w:rPr>
        <w:t>22308501</w:t>
      </w:r>
      <w:r>
        <w:rPr>
          <w:sz w:val="20"/>
          <w:szCs w:val="20"/>
          <w:rtl/>
        </w:rPr>
        <w:t>/</w:t>
      </w:r>
      <w:r>
        <w:rPr>
          <w:rFonts w:ascii="Verdana" w:eastAsia="Verdana" w:hAnsi="Verdana" w:cs="Verdana"/>
          <w:sz w:val="20"/>
          <w:szCs w:val="20"/>
        </w:rPr>
        <w:t>503</w:t>
      </w:r>
      <w:r>
        <w:rPr>
          <w:sz w:val="20"/>
          <w:szCs w:val="20"/>
          <w:rtl/>
        </w:rPr>
        <w:t xml:space="preserve">، فاكس: </w:t>
      </w:r>
      <w:r>
        <w:rPr>
          <w:rFonts w:ascii="Verdana" w:eastAsia="Verdana" w:hAnsi="Verdana" w:cs="Verdana"/>
          <w:sz w:val="20"/>
          <w:szCs w:val="20"/>
        </w:rPr>
        <w:t>22302310</w:t>
      </w:r>
      <w:r>
        <w:rPr>
          <w:sz w:val="20"/>
          <w:szCs w:val="20"/>
          <w:rtl/>
        </w:rPr>
        <w:t xml:space="preserve"> </w:t>
      </w:r>
    </w:p>
    <w:p w14:paraId="641EF91A" w14:textId="77777777" w:rsidR="00E03623" w:rsidRDefault="00000000">
      <w:pPr>
        <w:bidi w:val="0"/>
        <w:spacing w:after="3" w:line="259" w:lineRule="auto"/>
        <w:ind w:left="10" w:right="-14" w:hanging="10"/>
        <w:jc w:val="right"/>
      </w:pPr>
      <w:r>
        <w:rPr>
          <w:sz w:val="20"/>
        </w:rPr>
        <w:t xml:space="preserve"> </w:t>
      </w:r>
      <w:proofErr w:type="gramStart"/>
      <w:r>
        <w:rPr>
          <w:rFonts w:ascii="Verdana" w:eastAsia="Verdana" w:hAnsi="Verdana" w:cs="Verdana"/>
          <w:color w:val="0000FF"/>
          <w:sz w:val="14"/>
          <w:u w:val="single" w:color="0000FF"/>
        </w:rPr>
        <w:t>dublinoffice@asylum.moi.gov.cy</w:t>
      </w:r>
      <w:r>
        <w:rPr>
          <w:sz w:val="20"/>
        </w:rPr>
        <w:t xml:space="preserve"> :</w:t>
      </w:r>
      <w:r>
        <w:rPr>
          <w:sz w:val="20"/>
          <w:szCs w:val="20"/>
          <w:rtl/>
        </w:rPr>
        <w:t>بريد</w:t>
      </w:r>
      <w:proofErr w:type="gramEnd"/>
      <w:r>
        <w:rPr>
          <w:sz w:val="20"/>
          <w:szCs w:val="20"/>
          <w:rtl/>
        </w:rPr>
        <w:t xml:space="preserve"> إلكتروني</w:t>
      </w:r>
    </w:p>
    <w:p w14:paraId="13473E7A" w14:textId="77777777" w:rsidR="00E03623" w:rsidRDefault="00000000">
      <w:pPr>
        <w:bidi w:val="0"/>
        <w:spacing w:after="31" w:line="259" w:lineRule="auto"/>
        <w:ind w:left="0" w:firstLine="0"/>
        <w:jc w:val="left"/>
      </w:pPr>
      <w:r>
        <w:rPr>
          <w:rFonts w:ascii="Verdana" w:eastAsia="Verdana" w:hAnsi="Verdana" w:cs="Verdana"/>
          <w:sz w:val="14"/>
        </w:rPr>
        <w:t xml:space="preserve"> </w:t>
      </w:r>
    </w:p>
    <w:p w14:paraId="2F34949B" w14:textId="77777777" w:rsidR="00E03623" w:rsidRDefault="00000000">
      <w:pPr>
        <w:spacing w:after="20"/>
        <w:ind w:left="-7" w:right="4054" w:hanging="7"/>
        <w:jc w:val="right"/>
      </w:pPr>
      <w:r>
        <w:rPr>
          <w:sz w:val="20"/>
          <w:szCs w:val="20"/>
          <w:u w:val="single" w:color="000000"/>
          <w:rtl/>
        </w:rPr>
        <w:t xml:space="preserve">عنوان وبيانات الاتصال الخاصة بدائرة اللجوء </w:t>
      </w:r>
      <w:r>
        <w:rPr>
          <w:sz w:val="20"/>
          <w:szCs w:val="20"/>
          <w:rtl/>
        </w:rPr>
        <w:t xml:space="preserve"> دائرة اللجوء  </w:t>
      </w:r>
    </w:p>
    <w:p w14:paraId="0F35C053" w14:textId="77777777" w:rsidR="00E03623" w:rsidRDefault="00000000">
      <w:pPr>
        <w:spacing w:after="4" w:line="242" w:lineRule="auto"/>
        <w:ind w:left="-6" w:right="2798" w:hanging="9"/>
      </w:pPr>
      <w:r>
        <w:rPr>
          <w:rFonts w:ascii="Verdana" w:eastAsia="Verdana" w:hAnsi="Verdana" w:cs="Verdana"/>
          <w:sz w:val="20"/>
          <w:szCs w:val="20"/>
        </w:rPr>
        <w:t>70</w:t>
      </w:r>
      <w:r>
        <w:rPr>
          <w:sz w:val="20"/>
          <w:szCs w:val="20"/>
          <w:rtl/>
        </w:rPr>
        <w:t xml:space="preserve"> شارع القديس مكاريوس الثالث، بيت أفيميا ،</w:t>
      </w:r>
      <w:r>
        <w:rPr>
          <w:rFonts w:ascii="Verdana" w:eastAsia="Verdana" w:hAnsi="Verdana" w:cs="Verdana"/>
          <w:sz w:val="20"/>
          <w:szCs w:val="20"/>
        </w:rPr>
        <w:t>1077</w:t>
      </w:r>
      <w:r>
        <w:rPr>
          <w:sz w:val="20"/>
          <w:szCs w:val="20"/>
          <w:rtl/>
        </w:rPr>
        <w:t xml:space="preserve"> </w:t>
      </w:r>
      <w:proofErr w:type="gramStart"/>
      <w:r>
        <w:rPr>
          <w:sz w:val="20"/>
          <w:szCs w:val="20"/>
          <w:rtl/>
        </w:rPr>
        <w:t>ليفكوسيا  هاتف</w:t>
      </w:r>
      <w:proofErr w:type="gramEnd"/>
      <w:r>
        <w:rPr>
          <w:sz w:val="20"/>
          <w:szCs w:val="20"/>
          <w:rtl/>
        </w:rPr>
        <w:t xml:space="preserve">: </w:t>
      </w:r>
      <w:r>
        <w:rPr>
          <w:rFonts w:ascii="Verdana" w:eastAsia="Verdana" w:hAnsi="Verdana" w:cs="Verdana"/>
          <w:sz w:val="20"/>
          <w:szCs w:val="20"/>
        </w:rPr>
        <w:t>22308501</w:t>
      </w:r>
      <w:r>
        <w:rPr>
          <w:sz w:val="20"/>
          <w:szCs w:val="20"/>
          <w:rtl/>
        </w:rPr>
        <w:t>/</w:t>
      </w:r>
      <w:r>
        <w:rPr>
          <w:rFonts w:ascii="Verdana" w:eastAsia="Verdana" w:hAnsi="Verdana" w:cs="Verdana"/>
          <w:sz w:val="20"/>
          <w:szCs w:val="20"/>
        </w:rPr>
        <w:t>503</w:t>
      </w:r>
      <w:r>
        <w:rPr>
          <w:sz w:val="20"/>
          <w:szCs w:val="20"/>
          <w:rtl/>
        </w:rPr>
        <w:t xml:space="preserve">، فاكس: </w:t>
      </w:r>
      <w:r>
        <w:rPr>
          <w:rFonts w:ascii="Verdana" w:eastAsia="Verdana" w:hAnsi="Verdana" w:cs="Verdana"/>
          <w:sz w:val="20"/>
          <w:szCs w:val="20"/>
        </w:rPr>
        <w:t>22302310</w:t>
      </w:r>
      <w:r>
        <w:rPr>
          <w:sz w:val="20"/>
          <w:szCs w:val="20"/>
          <w:rtl/>
        </w:rPr>
        <w:t xml:space="preserve"> </w:t>
      </w:r>
    </w:p>
    <w:p w14:paraId="1C1FE49B" w14:textId="77777777" w:rsidR="00E03623" w:rsidRDefault="00000000">
      <w:pPr>
        <w:bidi w:val="0"/>
        <w:spacing w:after="3" w:line="259" w:lineRule="auto"/>
        <w:ind w:left="10" w:right="-14" w:hanging="10"/>
        <w:jc w:val="right"/>
      </w:pPr>
      <w:r>
        <w:rPr>
          <w:color w:val="0000FF"/>
          <w:sz w:val="20"/>
        </w:rPr>
        <w:t xml:space="preserve"> </w:t>
      </w:r>
      <w:proofErr w:type="gramStart"/>
      <w:r>
        <w:rPr>
          <w:rFonts w:ascii="Verdana" w:eastAsia="Verdana" w:hAnsi="Verdana" w:cs="Verdana"/>
          <w:color w:val="0000FF"/>
          <w:sz w:val="14"/>
          <w:u w:val="single" w:color="0000FF"/>
        </w:rPr>
        <w:t>info@asylum.moi.gov.cy</w:t>
      </w:r>
      <w:r>
        <w:rPr>
          <w:color w:val="0000FF"/>
          <w:sz w:val="20"/>
          <w:u w:val="single" w:color="0000FF"/>
        </w:rPr>
        <w:t xml:space="preserve"> </w:t>
      </w:r>
      <w:r>
        <w:rPr>
          <w:sz w:val="20"/>
        </w:rPr>
        <w:t>:</w:t>
      </w:r>
      <w:r>
        <w:rPr>
          <w:sz w:val="20"/>
          <w:szCs w:val="20"/>
          <w:rtl/>
        </w:rPr>
        <w:t>بريد</w:t>
      </w:r>
      <w:proofErr w:type="gramEnd"/>
      <w:r>
        <w:rPr>
          <w:sz w:val="20"/>
          <w:szCs w:val="20"/>
          <w:rtl/>
        </w:rPr>
        <w:t xml:space="preserve"> إلكتروني</w:t>
      </w:r>
    </w:p>
    <w:p w14:paraId="0E91C77B" w14:textId="77777777" w:rsidR="00E03623" w:rsidRDefault="00000000">
      <w:pPr>
        <w:bidi w:val="0"/>
        <w:spacing w:after="0" w:line="259" w:lineRule="auto"/>
        <w:ind w:left="0" w:firstLine="0"/>
        <w:jc w:val="left"/>
      </w:pPr>
      <w:r>
        <w:rPr>
          <w:rFonts w:ascii="Verdana" w:eastAsia="Verdana" w:hAnsi="Verdana" w:cs="Verdana"/>
          <w:b/>
          <w:sz w:val="20"/>
        </w:rPr>
        <w:t xml:space="preserve"> </w:t>
      </w:r>
    </w:p>
    <w:p w14:paraId="099E83DE" w14:textId="77777777" w:rsidR="00E03623" w:rsidRDefault="00000000">
      <w:pPr>
        <w:bidi w:val="0"/>
        <w:spacing w:after="0" w:line="259" w:lineRule="auto"/>
        <w:ind w:left="0" w:firstLine="0"/>
        <w:jc w:val="left"/>
      </w:pPr>
      <w:r>
        <w:rPr>
          <w:rFonts w:ascii="Verdana" w:eastAsia="Verdana" w:hAnsi="Verdana" w:cs="Verdana"/>
          <w:sz w:val="20"/>
        </w:rPr>
        <w:t xml:space="preserve"> </w:t>
      </w:r>
    </w:p>
    <w:sectPr w:rsidR="00E03623">
      <w:pgSz w:w="15840" w:h="12240" w:orient="landscape"/>
      <w:pgMar w:top="1440" w:right="484" w:bottom="1440" w:left="991" w:header="720" w:footer="720" w:gutter="0"/>
      <w:cols w:num="2" w:space="358"/>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623"/>
    <w:rsid w:val="00183810"/>
    <w:rsid w:val="00A66110"/>
    <w:rsid w:val="00E03623"/>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DBF0"/>
  <w15:docId w15:val="{CEB1DD0C-F664-4FB6-95C4-B18308E4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Y" w:eastAsia="en-C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5" w:line="241" w:lineRule="auto"/>
      <w:ind w:left="48" w:hanging="2"/>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UAA Document" ma:contentTypeID="0x010100702862A3062E044D8ABC14AA6FFFBF2A001E1BEB465AF5FA408120DC9CDBD709A7" ma:contentTypeVersion="22" ma:contentTypeDescription="" ma:contentTypeScope="" ma:versionID="c204f06e35c4345084db40cddd8bb400">
  <xsd:schema xmlns:xsd="http://www.w3.org/2001/XMLSchema" xmlns:xs="http://www.w3.org/2001/XMLSchema" xmlns:p="http://schemas.microsoft.com/office/2006/metadata/properties" xmlns:ns1="http://schemas.microsoft.com/sharepoint/v3" xmlns:ns2="a1af3d24-2c00-4fff-b753-464d92bed99a" xmlns:ns3="39543873-a8d7-40df-90ac-32bd461eaf5c" targetNamespace="http://schemas.microsoft.com/office/2006/metadata/properties" ma:root="true" ma:fieldsID="a8371b9bba91408a0448c2e4698a071f" ns1:_="" ns2:_="" ns3:_="">
    <xsd:import namespace="http://schemas.microsoft.com/sharepoint/v3"/>
    <xsd:import namespace="a1af3d24-2c00-4fff-b753-464d92bed99a"/>
    <xsd:import namespace="39543873-a8d7-40df-90ac-32bd461eaf5c"/>
    <xsd:element name="properties">
      <xsd:complexType>
        <xsd:sequence>
          <xsd:element name="documentManagement">
            <xsd:complexType>
              <xsd:all>
                <xsd:element ref="ns2:_dlc_DocId" minOccurs="0"/>
                <xsd:element ref="ns2:_dlc_DocIdUrl" minOccurs="0"/>
                <xsd:element ref="ns2:_dlc_DocIdPersistId" minOccurs="0"/>
                <xsd:element ref="ns2:o8afd3c3b2c14229af30eb97d0576c14" minOccurs="0"/>
                <xsd:element ref="ns2:TaxCatchAll" minOccurs="0"/>
                <xsd:element ref="ns2:TaxCatchAllLabel" minOccurs="0"/>
                <xsd:element ref="ns2:d843e2ab0fe040a0b8f15c0cb043c02e" minOccurs="0"/>
                <xsd:element ref="ns2:b449eb92237c479dbb476bba4132e4d0" minOccurs="0"/>
                <xsd:element ref="ns2:o7284467db3d4acd87ce2ae955c53c32" minOccurs="0"/>
                <xsd:element ref="ns1:DocumentSetDescription" minOccurs="0"/>
                <xsd:element ref="ns2:easoResponsibl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f3d24-2c00-4fff-b753-464d92bed99a"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dexed="true"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o8afd3c3b2c14229af30eb97d0576c14" ma:index="10" ma:taxonomy="true" ma:internalName="o8afd3c3b2c14229af30eb97d0576c14" ma:taxonomyFieldName="easoBusinessClassification" ma:displayName="Business Classification" ma:readOnly="false" ma:fieldId="{88afd3c3-b2c1-4229-af30-eb97d0576c14}" ma:sspId="503e7a41-821a-4582-8c5b-0263b9d2f658" ma:termSetId="420852fe-df73-4459-b6e8-0279ecfd170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4e61438-5062-43d7-b646-14d68e0bd61e}" ma:internalName="TaxCatchAll" ma:showField="CatchAllData"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4e61438-5062-43d7-b646-14d68e0bd61e}" ma:internalName="TaxCatchAllLabel" ma:readOnly="true" ma:showField="CatchAllDataLabel"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d843e2ab0fe040a0b8f15c0cb043c02e" ma:index="14" ma:taxonomy="true" ma:internalName="d843e2ab0fe040a0b8f15c0cb043c02e" ma:taxonomyFieldName="RecordStatus" ma:displayName="Record Status" ma:indexed="true" ma:readOnly="false" ma:default="333;#Unlocked|657cf70e-6c76-40b5-8378-d1bef5a86504" ma:fieldId="{d843e2ab-0fe0-40a0-b8f1-5c0cb043c02e}" ma:sspId="503e7a41-821a-4582-8c5b-0263b9d2f658" ma:termSetId="d074c5b3-79b4-4232-8673-c47649e6f2e0" ma:anchorId="00000000-0000-0000-0000-000000000000" ma:open="false" ma:isKeyword="false">
      <xsd:complexType>
        <xsd:sequence>
          <xsd:element ref="pc:Terms" minOccurs="0" maxOccurs="1"/>
        </xsd:sequence>
      </xsd:complexType>
    </xsd:element>
    <xsd:element name="b449eb92237c479dbb476bba4132e4d0" ma:index="16" nillable="true" ma:taxonomy="true" ma:internalName="b449eb92237c479dbb476bba4132e4d0" ma:taxonomyFieldName="easoSecurityClassification" ma:displayName="Security Classification" ma:readOnly="false" ma:default="1;#Internal|d0063956-0b9b-4740-b4be-2689507f2aae" ma:fieldId="{b449eb92-237c-479d-bb47-6bba4132e4d0}" ma:sspId="503e7a41-821a-4582-8c5b-0263b9d2f658" ma:termSetId="6aae6405-aa79-4b16-b633-2137dc1ce12b" ma:anchorId="00000000-0000-0000-0000-000000000000" ma:open="false" ma:isKeyword="false">
      <xsd:complexType>
        <xsd:sequence>
          <xsd:element ref="pc:Terms" minOccurs="0" maxOccurs="1"/>
        </xsd:sequence>
      </xsd:complexType>
    </xsd:element>
    <xsd:element name="o7284467db3d4acd87ce2ae955c53c32" ma:index="18" nillable="true" ma:taxonomy="true" ma:internalName="o7284467db3d4acd87ce2ae955c53c32" ma:taxonomyFieldName="easoDocumentLanguage" ma:displayName="Document Language" ma:readOnly="false" ma:default="2;#English|532fa66a-4cdf-4129-bab9-a1f47b418755" ma:fieldId="{87284467-db3d-4acd-87ce-2ae955c53c32}" ma:taxonomyMulti="true" ma:sspId="503e7a41-821a-4582-8c5b-0263b9d2f658" ma:termSetId="e6dd9656-7aa6-44e5-ac68-59003ab7070e" ma:anchorId="00000000-0000-0000-0000-000000000000" ma:open="false" ma:isKeyword="false">
      <xsd:complexType>
        <xsd:sequence>
          <xsd:element ref="pc:Terms" minOccurs="0" maxOccurs="1"/>
        </xsd:sequence>
      </xsd:complexType>
    </xsd:element>
    <xsd:element name="easoResponsible" ma:index="22" nillable="true" ma:displayName="Responsible" ma:description="The responsible person of the document" ma:SharePointGroup="0" ma:internalName="easo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3873-a8d7-40df-90ac-32bd461eaf5c"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8afd3c3b2c14229af30eb97d0576c14 xmlns="a1af3d24-2c00-4fff-b753-464d92bed99a">
      <Terms xmlns="http://schemas.microsoft.com/office/infopath/2007/PartnerControls"/>
    </o8afd3c3b2c14229af30eb97d0576c14>
    <DocumentSetDescription xmlns="http://schemas.microsoft.com/sharepoint/v3" xsi:nil="true"/>
    <easoResponsible xmlns="a1af3d24-2c00-4fff-b753-464d92bed99a">
      <UserInfo>
        <DisplayName/>
        <AccountId xsi:nil="true"/>
        <AccountType/>
      </UserInfo>
    </easoResponsible>
    <_Flow_SignoffStatus xmlns="39543873-a8d7-40df-90ac-32bd461eaf5c" xsi:nil="true"/>
    <TaxCatchAll xmlns="a1af3d24-2c00-4fff-b753-464d92bed99a">
      <Value>333</Value>
      <Value>2</Value>
      <Value>1</Value>
    </TaxCatchAll>
    <d843e2ab0fe040a0b8f15c0cb043c02e xmlns="a1af3d24-2c00-4fff-b753-464d92bed99a">
      <Terms xmlns="http://schemas.microsoft.com/office/infopath/2007/PartnerControls">
        <TermInfo xmlns="http://schemas.microsoft.com/office/infopath/2007/PartnerControls">
          <TermName xmlns="http://schemas.microsoft.com/office/infopath/2007/PartnerControls">Unlocked</TermName>
          <TermId xmlns="http://schemas.microsoft.com/office/infopath/2007/PartnerControls">657cf70e-6c76-40b5-8378-d1bef5a86504</TermId>
        </TermInfo>
      </Terms>
    </d843e2ab0fe040a0b8f15c0cb043c02e>
    <b449eb92237c479dbb476bba4132e4d0 xmlns="a1af3d24-2c00-4fff-b753-464d92bed99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d0063956-0b9b-4740-b4be-2689507f2aae</TermId>
        </TermInfo>
      </Terms>
    </b449eb92237c479dbb476bba4132e4d0>
    <o7284467db3d4acd87ce2ae955c53c32 xmlns="a1af3d24-2c00-4fff-b753-464d92bed99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532fa66a-4cdf-4129-bab9-a1f47b418755</TermId>
        </TermInfo>
      </Terms>
    </o7284467db3d4acd87ce2ae955c53c32>
    <_dlc_DocId xmlns="a1af3d24-2c00-4fff-b753-464d92bed99a">EUAA2023-335380642-59427</_dlc_DocId>
    <_dlc_DocIdUrl xmlns="a1af3d24-2c00-4fff-b753-464d92bed99a">
      <Url>https://easo.sharepoint.com/sites/co/_layouts/15/DocIdRedir.aspx?ID=EUAA2023-335380642-59427</Url>
      <Description>EUAA2023-335380642-59427</Description>
    </_dlc_DocIdUrl>
  </documentManagement>
</p:properties>
</file>

<file path=customXml/itemProps1.xml><?xml version="1.0" encoding="utf-8"?>
<ds:datastoreItem xmlns:ds="http://schemas.openxmlformats.org/officeDocument/2006/customXml" ds:itemID="{9827FF6E-C381-4339-87D4-2D831BD168BD}"/>
</file>

<file path=customXml/itemProps2.xml><?xml version="1.0" encoding="utf-8"?>
<ds:datastoreItem xmlns:ds="http://schemas.openxmlformats.org/officeDocument/2006/customXml" ds:itemID="{49E92357-1744-4974-87AF-9CABC723EA4F}"/>
</file>

<file path=customXml/itemProps3.xml><?xml version="1.0" encoding="utf-8"?>
<ds:datastoreItem xmlns:ds="http://schemas.openxmlformats.org/officeDocument/2006/customXml" ds:itemID="{5BAB5F8E-025D-4383-8578-89A08CA1027A}"/>
</file>

<file path=customXml/itemProps4.xml><?xml version="1.0" encoding="utf-8"?>
<ds:datastoreItem xmlns:ds="http://schemas.openxmlformats.org/officeDocument/2006/customXml" ds:itemID="{7E01754F-73A3-4EE9-8936-86A38B380E5B}"/>
</file>

<file path=docProps/app.xml><?xml version="1.0" encoding="utf-8"?>
<Properties xmlns="http://schemas.openxmlformats.org/officeDocument/2006/extended-properties" xmlns:vt="http://schemas.openxmlformats.org/officeDocument/2006/docPropsVTypes">
  <Template>Normal</Template>
  <TotalTime>9</TotalTime>
  <Pages>1</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DublinLeaflet</dc:title>
  <dc:subject/>
  <dc:creator>CDT</dc:creator>
  <cp:keywords/>
  <cp:lastModifiedBy>Vasiliki Kapodistria</cp:lastModifiedBy>
  <cp:revision>2</cp:revision>
  <dcterms:created xsi:type="dcterms:W3CDTF">2023-10-27T04:58:00Z</dcterms:created>
  <dcterms:modified xsi:type="dcterms:W3CDTF">2023-10-27T04:58:00Z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0x010100702862A3062E044D8ABC14AA6FFFBF2A001E1BEB465AF5FA408120DC9CDBD709A7</vt:lpwstr>
  </property>
  <property fmtid="{D5CDD505-2E9C-101B-9397-08002B2CF9AE}" pid="3" name="RecordStatus">
    <vt:lpwstr>333;#Unlocked|657cf70e-6c76-40b5-8378-d1bef5a86504</vt:lpwstr>
  </property>
  <property fmtid="{D5CDD505-2E9C-101B-9397-08002B2CF9AE}" pid="4" name="easoDocumentLanguage">
    <vt:lpwstr>2;#English|532fa66a-4cdf-4129-bab9-a1f47b418755</vt:lpwstr>
  </property>
  <property fmtid="{D5CDD505-2E9C-101B-9397-08002B2CF9AE}" pid="5" name="easoSecurityClassification">
    <vt:lpwstr>1;#Internal|d0063956-0b9b-4740-b4be-2689507f2aae</vt:lpwstr>
  </property>
  <property fmtid="{D5CDD505-2E9C-101B-9397-08002B2CF9AE}" pid="6" name="_dlc_DocIdItemGuid">
    <vt:lpwstr>33fcdda4-f9fa-48ce-a3c4-781013fd823a</vt:lpwstr>
  </property>
  <property fmtid="{D5CDD505-2E9C-101B-9397-08002B2CF9AE}" pid="7" name="p96fb03dbcf94747b8ec018a65a2d03d">
    <vt:lpwstr/>
  </property>
  <property fmtid="{D5CDD505-2E9C-101B-9397-08002B2CF9AE}" pid="8" name="MediaServiceImageTags">
    <vt:lpwstr/>
  </property>
  <property fmtid="{D5CDD505-2E9C-101B-9397-08002B2CF9AE}" pid="9" name="easoDocumentCoverage">
    <vt:lpwstr/>
  </property>
  <property fmtid="{D5CDD505-2E9C-101B-9397-08002B2CF9AE}" pid="10" name="lcf76f155ced4ddcb4097134ff3c332f">
    <vt:lpwstr/>
  </property>
  <property fmtid="{D5CDD505-2E9C-101B-9397-08002B2CF9AE}" pid="11" name="easoBusinessClassification">
    <vt:lpwstr/>
  </property>
</Properties>
</file>